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64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688"/>
        <w:gridCol w:w="862"/>
        <w:gridCol w:w="456"/>
        <w:gridCol w:w="1570"/>
        <w:gridCol w:w="565"/>
        <w:gridCol w:w="785"/>
        <w:gridCol w:w="785"/>
        <w:gridCol w:w="785"/>
        <w:gridCol w:w="1676"/>
        <w:gridCol w:w="305"/>
        <w:gridCol w:w="562"/>
        <w:gridCol w:w="281"/>
        <w:gridCol w:w="567"/>
        <w:gridCol w:w="1681"/>
        <w:gridCol w:w="281"/>
        <w:gridCol w:w="461"/>
        <w:gridCol w:w="101"/>
        <w:gridCol w:w="283"/>
        <w:gridCol w:w="564"/>
        <w:gridCol w:w="136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872" w:type="dxa"/>
            <w:gridSpan w:val="17"/>
            <w:tcBorders>
              <w:top w:val="nil"/>
              <w:left w:val="nil"/>
            </w:tcBorders>
          </w:tcPr>
          <w:p>
            <w:pPr>
              <w:pStyle w:val="8"/>
              <w:spacing w:before="146"/>
              <w:ind w:left="684"/>
              <w:rPr>
                <w:b/>
                <w:sz w:val="28"/>
              </w:rPr>
            </w:pPr>
            <w:r>
              <w:rPr>
                <w:rFonts w:hint="eastAsia" w:ascii="黑体" w:hAnsi="黑体" w:eastAsia="黑体"/>
                <w:b/>
                <w:sz w:val="28"/>
              </w:rPr>
              <w:t xml:space="preserve">集 装 箱 清 单 </w:t>
            </w:r>
            <w:r>
              <w:rPr>
                <w:b/>
                <w:sz w:val="28"/>
              </w:rPr>
              <w:t>— Ведомость контейнеров</w:t>
            </w:r>
          </w:p>
        </w:tc>
        <w:tc>
          <w:tcPr>
            <w:tcW w:w="2314" w:type="dxa"/>
            <w:gridSpan w:val="4"/>
            <w:tcBorders>
              <w:bottom w:val="single" w:color="000000" w:sz="8" w:space="0"/>
            </w:tcBorders>
          </w:tcPr>
          <w:p>
            <w:pPr>
              <w:pStyle w:val="8"/>
              <w:spacing w:before="10"/>
              <w:ind w:left="102"/>
              <w:rPr>
                <w:sz w:val="18"/>
              </w:rPr>
            </w:pPr>
            <w:r>
              <w:rPr>
                <w:sz w:val="18"/>
              </w:rPr>
              <w:t xml:space="preserve">29 </w:t>
            </w:r>
            <w:r>
              <w:rPr>
                <w:rFonts w:hint="eastAsia" w:ascii="宋体" w:hAnsi="宋体" w:eastAsia="宋体"/>
                <w:sz w:val="18"/>
              </w:rPr>
              <w:t>批号</w:t>
            </w:r>
            <w:r>
              <w:rPr>
                <w:sz w:val="18"/>
              </w:rPr>
              <w:t>—Отправка 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62" w:type="dxa"/>
            <w:vMerge w:val="restart"/>
            <w:tcBorders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4"/>
              <w:rPr>
                <w:sz w:val="29"/>
              </w:rPr>
            </w:pPr>
          </w:p>
          <w:p>
            <w:pPr>
              <w:pStyle w:val="8"/>
              <w:spacing w:line="213" w:lineRule="auto"/>
              <w:ind w:left="174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顺号</w:t>
            </w:r>
          </w:p>
          <w:p>
            <w:pPr>
              <w:pStyle w:val="8"/>
              <w:spacing w:line="237" w:lineRule="auto"/>
              <w:ind w:left="138" w:right="98" w:firstLine="40"/>
              <w:rPr>
                <w:sz w:val="21"/>
              </w:rPr>
            </w:pPr>
            <w:r>
              <w:rPr>
                <w:sz w:val="21"/>
              </w:rPr>
              <w:t xml:space="preserve">№ </w:t>
            </w:r>
            <w:r>
              <w:rPr>
                <w:spacing w:val="-1"/>
                <w:sz w:val="21"/>
              </w:rPr>
              <w:t>п/п</w:t>
            </w:r>
          </w:p>
        </w:tc>
        <w:tc>
          <w:tcPr>
            <w:tcW w:w="2550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99" w:lineRule="exact"/>
              <w:ind w:left="649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15 </w:t>
            </w:r>
            <w:r>
              <w:rPr>
                <w:rFonts w:hint="eastAsia" w:ascii="宋体" w:eastAsia="宋体"/>
                <w:sz w:val="18"/>
              </w:rPr>
              <w:t>货 物 名 称</w:t>
            </w:r>
          </w:p>
          <w:p>
            <w:pPr>
              <w:pStyle w:val="8"/>
              <w:spacing w:line="181" w:lineRule="exact"/>
              <w:ind w:left="493"/>
              <w:rPr>
                <w:sz w:val="18"/>
              </w:rPr>
            </w:pPr>
            <w:r>
              <w:rPr>
                <w:sz w:val="18"/>
              </w:rPr>
              <w:t>Наименование груза</w:t>
            </w:r>
          </w:p>
        </w:tc>
        <w:tc>
          <w:tcPr>
            <w:tcW w:w="2026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99" w:lineRule="exact"/>
              <w:ind w:right="581"/>
              <w:jc w:val="right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19 </w:t>
            </w:r>
            <w:r>
              <w:rPr>
                <w:rFonts w:hint="eastAsia" w:ascii="宋体" w:eastAsia="宋体"/>
                <w:sz w:val="18"/>
              </w:rPr>
              <w:t>封 印</w:t>
            </w:r>
          </w:p>
          <w:p>
            <w:pPr>
              <w:pStyle w:val="8"/>
              <w:spacing w:line="181" w:lineRule="exact"/>
              <w:ind w:right="533"/>
              <w:jc w:val="right"/>
              <w:rPr>
                <w:sz w:val="18"/>
              </w:rPr>
            </w:pPr>
            <w:r>
              <w:rPr>
                <w:sz w:val="18"/>
              </w:rPr>
              <w:t>Пломбы</w:t>
            </w:r>
          </w:p>
        </w:tc>
        <w:tc>
          <w:tcPr>
            <w:tcW w:w="565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166"/>
              <w:ind w:left="82"/>
              <w:rPr>
                <w:sz w:val="18"/>
              </w:rPr>
            </w:pPr>
            <w:r>
              <w:rPr>
                <w:sz w:val="18"/>
              </w:rPr>
              <w:t xml:space="preserve">17 </w:t>
            </w:r>
            <w:r>
              <w:rPr>
                <w:rFonts w:hint="eastAsia" w:ascii="宋体" w:hAnsi="宋体" w:eastAsia="宋体"/>
                <w:sz w:val="18"/>
              </w:rPr>
              <w:t xml:space="preserve">件数 </w:t>
            </w:r>
            <w:r>
              <w:rPr>
                <w:sz w:val="18"/>
              </w:rPr>
              <w:t>К-во мест</w:t>
            </w:r>
          </w:p>
        </w:tc>
        <w:tc>
          <w:tcPr>
            <w:tcW w:w="2355" w:type="dxa"/>
            <w:gridSpan w:val="3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line="199" w:lineRule="exact"/>
              <w:ind w:left="458"/>
              <w:rPr>
                <w:rFonts w:hint="eastAsia" w:ascii="宋体" w:eastAsia="宋体"/>
                <w:sz w:val="18"/>
              </w:rPr>
            </w:pPr>
            <w:r>
              <w:rPr>
                <w:sz w:val="18"/>
              </w:rPr>
              <w:t xml:space="preserve">18 </w:t>
            </w:r>
            <w:r>
              <w:rPr>
                <w:rFonts w:hint="eastAsia" w:ascii="宋体" w:eastAsia="宋体"/>
                <w:sz w:val="18"/>
              </w:rPr>
              <w:t>重 量（公斤）</w:t>
            </w:r>
          </w:p>
          <w:p>
            <w:pPr>
              <w:pStyle w:val="8"/>
              <w:spacing w:line="181" w:lineRule="exact"/>
              <w:ind w:left="710"/>
              <w:rPr>
                <w:sz w:val="18"/>
              </w:rPr>
            </w:pPr>
            <w:r>
              <w:rPr>
                <w:sz w:val="18"/>
              </w:rPr>
              <w:t>Масса (в кг)</w:t>
            </w:r>
          </w:p>
        </w:tc>
        <w:tc>
          <w:tcPr>
            <w:tcW w:w="3391" w:type="dxa"/>
            <w:gridSpan w:val="5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293"/>
              </w:tabs>
              <w:spacing w:before="73" w:after="0" w:line="240" w:lineRule="auto"/>
              <w:ind w:left="292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车辆—</w:t>
            </w:r>
            <w:r>
              <w:rPr>
                <w:sz w:val="18"/>
              </w:rPr>
              <w:t>Вагон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93"/>
              </w:tabs>
              <w:spacing w:before="9" w:after="0" w:line="240" w:lineRule="auto"/>
              <w:ind w:left="292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pacing w:val="-1"/>
                <w:sz w:val="18"/>
              </w:rPr>
              <w:t>车辆由何方提供—</w:t>
            </w:r>
            <w:r>
              <w:rPr>
                <w:spacing w:val="-5"/>
                <w:sz w:val="18"/>
              </w:rPr>
              <w:t>Вагон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предоставлен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293"/>
              </w:tabs>
              <w:spacing w:before="10" w:after="0" w:line="240" w:lineRule="auto"/>
              <w:ind w:left="292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载重量—</w:t>
            </w:r>
            <w:r>
              <w:rPr>
                <w:sz w:val="18"/>
              </w:rPr>
              <w:t>Грузоподёмность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4"/>
              </w:tabs>
              <w:spacing w:before="9" w:after="0" w:line="240" w:lineRule="auto"/>
              <w:ind w:left="383" w:right="0" w:hanging="275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轴数—</w:t>
            </w:r>
            <w:r>
              <w:rPr>
                <w:sz w:val="18"/>
              </w:rPr>
              <w:t>Оси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84"/>
              </w:tabs>
              <w:spacing w:before="10" w:after="0" w:line="240" w:lineRule="auto"/>
              <w:ind w:left="383" w:right="0" w:hanging="275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自重—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тары</w:t>
            </w:r>
          </w:p>
        </w:tc>
        <w:tc>
          <w:tcPr>
            <w:tcW w:w="3371" w:type="dxa"/>
            <w:gridSpan w:val="6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numPr>
                <w:ilvl w:val="0"/>
                <w:numId w:val="2"/>
              </w:numPr>
              <w:tabs>
                <w:tab w:val="left" w:pos="291"/>
              </w:tabs>
              <w:spacing w:before="73" w:after="0" w:line="240" w:lineRule="auto"/>
              <w:ind w:left="290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车辆</w:t>
            </w:r>
            <w:r>
              <w:rPr>
                <w:sz w:val="18"/>
              </w:rPr>
              <w:t>*</w:t>
            </w:r>
            <w:r>
              <w:rPr>
                <w:rFonts w:hint="eastAsia" w:ascii="宋体" w:hAnsi="宋体" w:eastAsia="宋体"/>
                <w:sz w:val="18"/>
              </w:rPr>
              <w:t>—</w:t>
            </w:r>
            <w:r>
              <w:rPr>
                <w:sz w:val="18"/>
              </w:rPr>
              <w:t>Вагон*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91"/>
              </w:tabs>
              <w:spacing w:before="9" w:after="0" w:line="240" w:lineRule="auto"/>
              <w:ind w:left="290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pacing w:val="-14"/>
                <w:sz w:val="18"/>
              </w:rPr>
              <w:t>车辆由何方提供</w:t>
            </w:r>
            <w:r>
              <w:rPr>
                <w:spacing w:val="-4"/>
                <w:sz w:val="18"/>
              </w:rPr>
              <w:t>*</w:t>
            </w:r>
            <w:r>
              <w:rPr>
                <w:rFonts w:hint="eastAsia" w:ascii="宋体" w:hAnsi="宋体" w:eastAsia="宋体"/>
                <w:spacing w:val="-4"/>
                <w:sz w:val="18"/>
              </w:rPr>
              <w:t>—</w:t>
            </w:r>
            <w:r>
              <w:rPr>
                <w:spacing w:val="-4"/>
                <w:sz w:val="18"/>
              </w:rPr>
              <w:t>Вагон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предоставлен*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291"/>
              </w:tabs>
              <w:spacing w:before="10" w:after="0" w:line="240" w:lineRule="auto"/>
              <w:ind w:left="290" w:right="0" w:hanging="184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载重量</w:t>
            </w:r>
            <w:r>
              <w:rPr>
                <w:sz w:val="18"/>
              </w:rPr>
              <w:t>*</w:t>
            </w:r>
            <w:r>
              <w:rPr>
                <w:rFonts w:hint="eastAsia" w:ascii="宋体" w:hAnsi="宋体" w:eastAsia="宋体"/>
                <w:sz w:val="18"/>
              </w:rPr>
              <w:t>—</w:t>
            </w:r>
            <w:r>
              <w:rPr>
                <w:sz w:val="18"/>
              </w:rPr>
              <w:t>Грузоподёмность*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82"/>
              </w:tabs>
              <w:spacing w:before="9" w:after="0" w:line="240" w:lineRule="auto"/>
              <w:ind w:left="381" w:right="0" w:hanging="275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轴数</w:t>
            </w:r>
            <w:r>
              <w:rPr>
                <w:sz w:val="18"/>
              </w:rPr>
              <w:t>*</w:t>
            </w:r>
            <w:r>
              <w:rPr>
                <w:rFonts w:hint="eastAsia" w:ascii="宋体" w:hAnsi="宋体" w:eastAsia="宋体"/>
                <w:sz w:val="18"/>
              </w:rPr>
              <w:t>—</w:t>
            </w:r>
            <w:r>
              <w:rPr>
                <w:sz w:val="18"/>
              </w:rPr>
              <w:t>Оси*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382"/>
              </w:tabs>
              <w:spacing w:before="10" w:after="0" w:line="240" w:lineRule="auto"/>
              <w:ind w:left="381" w:right="0" w:hanging="275"/>
              <w:jc w:val="left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自重</w:t>
            </w:r>
            <w:r>
              <w:rPr>
                <w:sz w:val="18"/>
              </w:rPr>
              <w:t>*</w:t>
            </w:r>
            <w:r>
              <w:rPr>
                <w:rFonts w:hint="eastAsia" w:ascii="宋体" w:hAnsi="宋体" w:eastAsia="宋体"/>
                <w:sz w:val="18"/>
              </w:rPr>
              <w:t>—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тары*</w:t>
            </w:r>
          </w:p>
        </w:tc>
        <w:tc>
          <w:tcPr>
            <w:tcW w:w="136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4"/>
              <w:rPr>
                <w:sz w:val="20"/>
              </w:rPr>
            </w:pPr>
          </w:p>
          <w:p>
            <w:pPr>
              <w:pStyle w:val="8"/>
              <w:spacing w:line="271" w:lineRule="auto"/>
              <w:ind w:left="121" w:right="8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>
              <w:rPr>
                <w:rFonts w:hint="eastAsia" w:ascii="宋体" w:hAnsi="宋体" w:eastAsia="宋体"/>
                <w:sz w:val="18"/>
              </w:rPr>
              <w:t>承运人记载</w:t>
            </w:r>
            <w:r>
              <w:rPr>
                <w:sz w:val="18"/>
              </w:rPr>
              <w:t>Отметки перевозчика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15"/>
              </w:rPr>
            </w:pPr>
          </w:p>
          <w:p>
            <w:pPr>
              <w:pStyle w:val="8"/>
              <w:spacing w:line="221" w:lineRule="exact"/>
              <w:ind w:left="192" w:right="158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集 装 箱 号</w:t>
            </w:r>
          </w:p>
          <w:p>
            <w:pPr>
              <w:pStyle w:val="8"/>
              <w:spacing w:line="197" w:lineRule="exact"/>
              <w:ind w:left="192" w:right="163"/>
              <w:jc w:val="center"/>
              <w:rPr>
                <w:sz w:val="18"/>
              </w:rPr>
            </w:pPr>
            <w:r>
              <w:rPr>
                <w:sz w:val="18"/>
              </w:rPr>
              <w:t>№ контейнера**</w:t>
            </w:r>
          </w:p>
        </w:tc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120" w:line="206" w:lineRule="auto"/>
              <w:ind w:left="67" w:right="6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集装箱尺寸和类型代码</w:t>
            </w:r>
          </w:p>
          <w:p>
            <w:pPr>
              <w:pStyle w:val="8"/>
              <w:spacing w:line="192" w:lineRule="auto"/>
              <w:ind w:left="67" w:right="59"/>
              <w:jc w:val="center"/>
              <w:rPr>
                <w:sz w:val="13"/>
              </w:rPr>
            </w:pPr>
            <w:r>
              <w:rPr>
                <w:sz w:val="13"/>
              </w:rPr>
              <w:t>Коды размера и типа контейнера</w:t>
            </w: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94"/>
              <w:ind w:left="115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数量</w:t>
            </w:r>
            <w:r>
              <w:rPr>
                <w:sz w:val="18"/>
              </w:rPr>
              <w:t>—К-во</w:t>
            </w:r>
          </w:p>
        </w:tc>
        <w:tc>
          <w:tcPr>
            <w:tcW w:w="15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rPr>
                <w:sz w:val="18"/>
              </w:rPr>
            </w:pPr>
          </w:p>
          <w:p>
            <w:pPr>
              <w:pStyle w:val="8"/>
              <w:spacing w:before="5"/>
              <w:rPr>
                <w:sz w:val="15"/>
              </w:rPr>
            </w:pPr>
          </w:p>
          <w:p>
            <w:pPr>
              <w:pStyle w:val="8"/>
              <w:tabs>
                <w:tab w:val="left" w:pos="479"/>
              </w:tabs>
              <w:spacing w:line="221" w:lineRule="exact"/>
              <w:ind w:left="26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记</w:t>
            </w:r>
            <w:r>
              <w:rPr>
                <w:rFonts w:hint="eastAsia" w:ascii="宋体" w:eastAsia="宋体"/>
                <w:sz w:val="18"/>
              </w:rPr>
              <w:tab/>
            </w:r>
            <w:r>
              <w:rPr>
                <w:rFonts w:hint="eastAsia" w:ascii="宋体" w:eastAsia="宋体"/>
                <w:sz w:val="18"/>
              </w:rPr>
              <w:t>号</w:t>
            </w:r>
          </w:p>
          <w:p>
            <w:pPr>
              <w:pStyle w:val="8"/>
              <w:spacing w:line="197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Знаки</w:t>
            </w:r>
          </w:p>
        </w:tc>
        <w:tc>
          <w:tcPr>
            <w:tcW w:w="5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2"/>
              <w:rPr>
                <w:sz w:val="15"/>
              </w:rPr>
            </w:pPr>
          </w:p>
          <w:p>
            <w:pPr>
              <w:pStyle w:val="8"/>
              <w:spacing w:line="222" w:lineRule="exact"/>
              <w:ind w:left="65" w:right="6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货物毛重</w:t>
            </w:r>
          </w:p>
          <w:p>
            <w:pPr>
              <w:pStyle w:val="8"/>
              <w:spacing w:line="198" w:lineRule="exact"/>
              <w:ind w:left="67" w:right="61"/>
              <w:jc w:val="center"/>
              <w:rPr>
                <w:sz w:val="18"/>
              </w:rPr>
            </w:pPr>
            <w:r>
              <w:rPr>
                <w:sz w:val="18"/>
              </w:rPr>
              <w:t>Брутто груза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87" w:line="225" w:lineRule="auto"/>
              <w:ind w:left="161" w:right="150" w:hanging="3"/>
              <w:jc w:val="both"/>
              <w:rPr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集装箱自重</w:t>
            </w:r>
            <w:r>
              <w:rPr>
                <w:sz w:val="18"/>
              </w:rPr>
              <w:t>Масса тары контейнера</w:t>
            </w: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pStyle w:val="8"/>
              <w:spacing w:before="76" w:line="221" w:lineRule="exact"/>
              <w:ind w:left="65" w:right="61"/>
              <w:jc w:val="center"/>
              <w:rPr>
                <w:rFonts w:hint="eastAsia" w:ascii="宋体" w:eastAsia="宋体"/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>总重</w:t>
            </w:r>
          </w:p>
          <w:p>
            <w:pPr>
              <w:pStyle w:val="8"/>
              <w:spacing w:line="230" w:lineRule="auto"/>
              <w:ind w:left="67" w:right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  <w:r>
              <w:rPr>
                <w:spacing w:val="-4"/>
                <w:sz w:val="18"/>
              </w:rPr>
              <w:t xml:space="preserve">масса </w:t>
            </w:r>
            <w:r>
              <w:rPr>
                <w:sz w:val="18"/>
              </w:rPr>
              <w:t>брутто</w:t>
            </w:r>
          </w:p>
        </w:tc>
        <w:tc>
          <w:tcPr>
            <w:tcW w:w="3391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1" w:type="dxa"/>
            <w:gridSpan w:val="6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09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95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6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93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2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51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8"/>
              <w:spacing w:before="32"/>
              <w:ind w:left="193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6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  <w:vMerge w:val="restart"/>
            <w:tcBorders>
              <w:top w:val="single" w:color="000000" w:sz="8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8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8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62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62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  <w:bottom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62" w:type="dxa"/>
            <w:vMerge w:val="restart"/>
            <w:tcBorders>
              <w:top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62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456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570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76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2" w:space="0"/>
              <w:bottom w:val="dotted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restart"/>
            <w:tcBorders>
              <w:top w:val="single" w:color="000000" w:sz="2" w:space="0"/>
              <w:lef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</w:trPr>
        <w:tc>
          <w:tcPr>
            <w:tcW w:w="562" w:type="dxa"/>
            <w:vMerge w:val="continue"/>
            <w:tcBorders>
              <w:top w:val="nil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vMerge w:val="continue"/>
            <w:tcBorders>
              <w:top w:val="nil"/>
              <w:left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6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305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7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681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1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2" w:type="dxa"/>
            <w:gridSpan w:val="2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283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564" w:type="dxa"/>
            <w:tcBorders>
              <w:top w:val="dotted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1366" w:type="dxa"/>
            <w:vMerge w:val="continue"/>
            <w:tcBorders>
              <w:top w:val="nil"/>
              <w:lef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138" w:type="dxa"/>
            <w:gridSpan w:val="5"/>
            <w:tcBorders>
              <w:left w:val="nil"/>
              <w:bottom w:val="nil"/>
              <w:right w:val="single" w:color="000000" w:sz="4" w:space="0"/>
            </w:tcBorders>
          </w:tcPr>
          <w:p>
            <w:pPr>
              <w:pStyle w:val="8"/>
              <w:spacing w:before="128"/>
              <w:ind w:right="85"/>
              <w:jc w:val="right"/>
              <w:rPr>
                <w:rFonts w:hint="eastAsia"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共计—</w:t>
            </w:r>
            <w:r>
              <w:rPr>
                <w:sz w:val="18"/>
              </w:rPr>
              <w:t>Итого</w:t>
            </w:r>
            <w:r>
              <w:rPr>
                <w:rFonts w:hint="eastAsia" w:ascii="宋体" w:hAnsi="宋体" w:eastAsia="宋体"/>
                <w:sz w:val="18"/>
              </w:rPr>
              <w:t>：</w:t>
            </w:r>
          </w:p>
        </w:tc>
        <w:tc>
          <w:tcPr>
            <w:tcW w:w="565" w:type="dxa"/>
            <w:tcBorders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785" w:type="dxa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sz w:val="18"/>
              </w:rPr>
            </w:pPr>
          </w:p>
        </w:tc>
        <w:tc>
          <w:tcPr>
            <w:tcW w:w="8128" w:type="dxa"/>
            <w:gridSpan w:val="12"/>
            <w:tcBorders>
              <w:left w:val="single" w:color="000000" w:sz="4" w:space="0"/>
              <w:bottom w:val="nil"/>
              <w:right w:val="nil"/>
            </w:tcBorders>
          </w:tcPr>
          <w:p>
            <w:pPr>
              <w:pStyle w:val="8"/>
              <w:rPr>
                <w:sz w:val="18"/>
              </w:rPr>
            </w:pPr>
          </w:p>
        </w:tc>
      </w:tr>
    </w:tbl>
    <w:p>
      <w:pPr>
        <w:tabs>
          <w:tab w:val="left" w:pos="9742"/>
          <w:tab w:val="left" w:pos="14118"/>
        </w:tabs>
        <w:spacing w:before="70"/>
        <w:ind w:left="103" w:right="0" w:firstLine="0"/>
        <w:jc w:val="left"/>
        <w:rPr>
          <w:sz w:val="24"/>
        </w:rPr>
      </w:pPr>
      <w:r>
        <w:rPr>
          <w:i/>
          <w:w w:val="95"/>
          <w:position w:val="14"/>
          <w:sz w:val="19"/>
        </w:rPr>
        <w:t>*</w:t>
      </w:r>
      <w:r>
        <w:rPr>
          <w:rFonts w:hint="eastAsia" w:ascii="黑体" w:eastAsia="黑体"/>
          <w:i/>
          <w:w w:val="95"/>
          <w:sz w:val="25"/>
        </w:rPr>
        <w:t>不换装运送集装箱时该栏可不予填写或打印</w:t>
      </w:r>
      <w:r>
        <w:rPr>
          <w:rFonts w:hint="eastAsia" w:ascii="黑体" w:eastAsia="黑体"/>
          <w:i/>
          <w:w w:val="95"/>
          <w:sz w:val="25"/>
        </w:rPr>
        <w:tab/>
      </w:r>
      <w:r>
        <w:rPr>
          <w:rFonts w:hint="eastAsia" w:ascii="黑体" w:eastAsia="黑体"/>
          <w:sz w:val="24"/>
        </w:rPr>
        <w:t>发货人签字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2"/>
        <w:tabs>
          <w:tab w:val="left" w:pos="9742"/>
        </w:tabs>
        <w:rPr>
          <w:i w:val="0"/>
        </w:rPr>
      </w:pPr>
      <w:r>
        <w:rPr>
          <w:i/>
        </w:rPr>
        <w:t>* Графы не заполняются или не печатаются при перевозке контейнеров в</w:t>
      </w:r>
      <w:r>
        <w:rPr>
          <w:i/>
          <w:spacing w:val="-27"/>
        </w:rPr>
        <w:t xml:space="preserve"> </w:t>
      </w:r>
      <w:r>
        <w:rPr>
          <w:i/>
        </w:rPr>
        <w:t>бесперезрузочном</w:t>
      </w:r>
      <w:r>
        <w:rPr>
          <w:i/>
          <w:spacing w:val="-3"/>
        </w:rPr>
        <w:t xml:space="preserve"> </w:t>
      </w:r>
      <w:r>
        <w:rPr>
          <w:i/>
        </w:rPr>
        <w:t>сообщении</w:t>
      </w:r>
      <w:r>
        <w:rPr>
          <w:i/>
        </w:rPr>
        <w:tab/>
      </w:r>
      <w:r>
        <w:rPr>
          <w:i w:val="0"/>
        </w:rPr>
        <w:t>Подпись отправителя</w:t>
      </w:r>
    </w:p>
    <w:p>
      <w:pPr>
        <w:spacing w:before="83"/>
        <w:ind w:left="103" w:right="0" w:firstLine="0"/>
        <w:jc w:val="left"/>
        <w:rPr>
          <w:rFonts w:hint="eastAsia" w:ascii="黑体" w:eastAsia="黑体"/>
          <w:i/>
          <w:sz w:val="25"/>
        </w:rPr>
      </w:pPr>
      <w:r>
        <w:rPr>
          <w:i/>
          <w:position w:val="14"/>
          <w:sz w:val="19"/>
        </w:rPr>
        <w:t>**</w:t>
      </w:r>
      <w:r>
        <w:rPr>
          <w:rFonts w:hint="eastAsia" w:ascii="黑体" w:eastAsia="黑体"/>
          <w:i/>
          <w:sz w:val="25"/>
        </w:rPr>
        <w:t>使用集装箱运送不同名称的货物时，在集装箱号的下面补充记载货物名称和代码</w:t>
      </w:r>
    </w:p>
    <w:p>
      <w:pPr>
        <w:pStyle w:val="2"/>
        <w:spacing w:before="24"/>
        <w:rPr>
          <w:i/>
        </w:rPr>
        <w:sectPr>
          <w:type w:val="continuous"/>
          <w:pgSz w:w="16840" w:h="11910" w:orient="landscape"/>
          <w:pgMar w:top="280" w:right="200" w:bottom="0" w:left="180" w:header="720" w:footer="720" w:gutter="0"/>
        </w:sectPr>
      </w:pPr>
      <w:r>
        <w:rPr>
          <w:i/>
        </w:rPr>
        <w:t>** При перевозке контейнеров с грузом разных наименований под номером контейнера дополнительно указывается наименование и код груза</w:t>
      </w:r>
    </w:p>
    <w:p>
      <w:pPr>
        <w:pStyle w:val="2"/>
        <w:tabs>
          <w:tab w:val="left" w:pos="10490"/>
        </w:tabs>
        <w:ind w:left="0" w:leftChars="0" w:firstLine="0" w:firstLineChars="0"/>
        <w:rPr>
          <w:rFonts w:hint="eastAsia" w:eastAsia="宋体"/>
          <w:i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由北京交大思源科技有限公司于2016年创立并运营，基于团队服务铁路物流与轨道交通领域20余年的行业经验，致力于构建专业的铁路多式联运服务平台。平台目前主要向从事铁路多式联运的货代物流企业提供“会员营销+功能产品+金融保险+物流软件+增值服务”等服务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在国家一带一路战略的指导下，物畅网利用专注铁路物流信息化领域20余年的技术和经验，通过建立综合性的现代物流信息平台，整合铁路多式联运产业链条资源（贸易商、货代、报关行、金融等），利用创新的互联网思维和现代物流信息化技术，为一带一路铁路多式联运业相关的货主、货代等企业提供服务链条上的各类优质服务，共建多式联运生态体系，赋能企业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物畅网功能平台：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"http://www.wuchangwang.cn;"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www.wuchangwang.cn;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keepNext w:val="0"/>
        <w:keepLines w:val="0"/>
        <w:pageBreakBefore w:val="0"/>
        <w:widowControl w:val="0"/>
        <w:tabs>
          <w:tab w:val="left" w:pos="1049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482" w:firstLineChars="200"/>
        <w:textAlignment w:val="auto"/>
        <w:rPr>
          <w:rFonts w:hint="eastAsia" w:eastAsia="宋体"/>
          <w:b/>
          <w:bCs/>
          <w:i w:val="0"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t>物畅网营销平台：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begin"/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instrText xml:space="preserve"> HYPERLINK "http://www.wcw56.com;" </w:instrTex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separate"/>
      </w:r>
      <w:r>
        <w:rPr>
          <w:rStyle w:val="5"/>
          <w:rFonts w:hint="eastAsia" w:eastAsia="宋体"/>
          <w:b/>
          <w:bCs/>
          <w:i w:val="0"/>
          <w:sz w:val="24"/>
          <w:szCs w:val="24"/>
          <w:lang w:val="en-US" w:eastAsia="zh-CN"/>
        </w:rPr>
        <w:t>www.wcw56.com;</w:t>
      </w:r>
      <w:r>
        <w:rPr>
          <w:rFonts w:hint="eastAsia" w:eastAsia="宋体"/>
          <w:b/>
          <w:bCs/>
          <w:i w:val="0"/>
          <w:sz w:val="24"/>
          <w:szCs w:val="24"/>
          <w:lang w:val="en-US" w:eastAsia="zh-CN"/>
        </w:rPr>
        <w:fldChar w:fldCharType="end"/>
      </w:r>
    </w:p>
    <w:p>
      <w:pPr>
        <w:pStyle w:val="2"/>
        <w:spacing w:before="24"/>
        <w:rPr>
          <w:i/>
        </w:rPr>
      </w:pPr>
      <w:r>
        <w:rPr>
          <w:rFonts w:hint="default" w:eastAsia="宋体"/>
          <w:i w:val="0"/>
          <w:sz w:val="28"/>
          <w:szCs w:val="28"/>
          <w:lang w:val="en-US" w:eastAsia="zh-CN"/>
        </w:rPr>
        <w:drawing>
          <wp:inline distT="0" distB="0" distL="114300" distR="114300">
            <wp:extent cx="10132060" cy="4653280"/>
            <wp:effectExtent l="0" t="0" r="2540" b="762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2060" cy="46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40" w:h="11910" w:orient="landscape"/>
      <w:pgMar w:top="280" w:right="200" w:bottom="0" w:left="1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3AC0CAA-CF79-4EF1-B247-3A2AE553070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  <w:embedRegular r:id="rId2" w:fontKey="{A34AD94D-9A45-48FE-84F9-8E89C3F3CF9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7"/>
      <w:numFmt w:val="decimal"/>
      <w:lvlText w:val="%1"/>
      <w:lvlJc w:val="left"/>
      <w:pPr>
        <w:ind w:left="290" w:hanging="183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18"/>
        <w:szCs w:val="1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5" w:hanging="18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910" w:hanging="18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1215" w:hanging="18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520" w:hanging="18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825" w:hanging="18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2130" w:hanging="18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2435" w:hanging="18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2740" w:hanging="183"/>
      </w:pPr>
      <w:rPr>
        <w:rFonts w:hint="default"/>
        <w:lang w:val="ru-RU" w:eastAsia="ru-RU" w:bidi="ru-RU"/>
      </w:rPr>
    </w:lvl>
  </w:abstractNum>
  <w:abstractNum w:abstractNumId="1">
    <w:nsid w:val="0053208E"/>
    <w:multiLevelType w:val="multilevel"/>
    <w:tmpl w:val="0053208E"/>
    <w:lvl w:ilvl="0" w:tentative="0">
      <w:start w:val="7"/>
      <w:numFmt w:val="decimal"/>
      <w:lvlText w:val="%1"/>
      <w:lvlJc w:val="left"/>
      <w:pPr>
        <w:ind w:left="292" w:hanging="18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8"/>
        <w:szCs w:val="18"/>
        <w:lang w:val="ru-RU" w:eastAsia="ru-RU" w:bidi="ru-RU"/>
      </w:rPr>
    </w:lvl>
    <w:lvl w:ilvl="1" w:tentative="0">
      <w:start w:val="0"/>
      <w:numFmt w:val="bullet"/>
      <w:lvlText w:val="•"/>
      <w:lvlJc w:val="left"/>
      <w:pPr>
        <w:ind w:left="607" w:hanging="183"/>
      </w:pPr>
      <w:rPr>
        <w:rFonts w:hint="default"/>
        <w:lang w:val="ru-RU" w:eastAsia="ru-RU" w:bidi="ru-RU"/>
      </w:rPr>
    </w:lvl>
    <w:lvl w:ilvl="2" w:tentative="0">
      <w:start w:val="0"/>
      <w:numFmt w:val="bullet"/>
      <w:lvlText w:val="•"/>
      <w:lvlJc w:val="left"/>
      <w:pPr>
        <w:ind w:left="914" w:hanging="183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1221" w:hanging="183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1528" w:hanging="183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1835" w:hanging="183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2142" w:hanging="183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2449" w:hanging="183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2756" w:hanging="18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80370F7"/>
    <w:rsid w:val="4F7B3C77"/>
    <w:rsid w:val="7CFD27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"/>
      <w:ind w:left="103"/>
    </w:pPr>
    <w:rPr>
      <w:rFonts w:ascii="Times New Roman" w:hAnsi="Times New Roman" w:eastAsia="Times New Roman" w:cs="Times New Roman"/>
      <w:b/>
      <w:bCs/>
      <w:i/>
      <w:sz w:val="18"/>
      <w:szCs w:val="18"/>
      <w:lang w:val="ru-RU" w:eastAsia="ru-RU" w:bidi="ru-RU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ru-RU" w:eastAsia="ru-RU" w:bidi="ru-RU"/>
    </w:rPr>
  </w:style>
  <w:style w:type="paragraph" w:customStyle="1" w:styleId="8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2020-04-02T09:24:00Z</dcterms:created>
  <dc:creator>zhangjin</dc:creator>
  <cp:lastModifiedBy>YJM.</cp:lastModifiedBy>
  <dcterms:modified xsi:type="dcterms:W3CDTF">2020-04-28T03:55:59Z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  <property fmtid="{D5CDD505-2E9C-101B-9397-08002B2CF9AE}" pid="5" name="KSOProductBuildVer">
    <vt:lpwstr>2052-11.1.0.9440</vt:lpwstr>
  </property>
</Properties>
</file>